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1F4E79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1F4E79"/>
          <w:spacing w:val="0"/>
          <w:position w:val="0"/>
          <w:sz w:val="36"/>
          <w:shd w:fill="auto" w:val="clear"/>
        </w:rPr>
        <w:t xml:space="preserve">OFICINA DE FORMULAÇÃO DE ESTRATÉGIA DE BUSCA DE EVIDENCIAS NAS BASES DE DADOS EM SAÚDE E GERAL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1F4E79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1F4E79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36"/>
          <w:shd w:fill="auto" w:val="clear"/>
        </w:rPr>
        <w:t xml:space="preserve">29 de novembro de 2019.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1F4E79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36"/>
          <w:shd w:fill="auto" w:val="clear"/>
        </w:rPr>
        <w:t xml:space="preserve">9h às 17h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8150" w:dyaOrig="6163">
          <v:rect xmlns:o="urn:schemas-microsoft-com:office:office" xmlns:v="urn:schemas-microsoft-com:vml" id="rectole0000000000" style="width:407.500000pt;height:308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  <w:t xml:space="preserve">Objetivo</w:t>
      </w: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: Capacitar os usuários e pesquisadores a identificarem e buscarem nas bases de dados de saúde e geral evidências cientificas. As aulas serão expositivas e práticas.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Cronograma: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  <w:t xml:space="preserve">29/11/2019 - 9h às 17h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  <w:t xml:space="preserve">Manhã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Introdução a Saúde Baseada em Evidências: entendendo o que são evidências e onde encontra-las.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Formulando perguntas com estruturas pré-estabelecidas.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  <w:t xml:space="preserve">Intervalo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Oficina de formulação de pergunta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Transformando a Pergunta em Estratégia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  <w:t xml:space="preserve">Almoço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  <w:t xml:space="preserve">Tarde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Identificando o vocabulário Oficial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Conhecendo as bases de dados para a busca de evidências: Geral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  <w:t xml:space="preserve">Intervalo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Busca nas bases de dados: obrigatórias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Entendendo busca simples, avançada e busca de alta sensibilidade</w:t>
      </w:r>
    </w:p>
    <w:p>
      <w:pPr>
        <w:spacing w:before="0" w:after="160" w:line="259"/>
        <w:ind w:right="0" w:left="72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  <w:t xml:space="preserve">BIBLIOGRAFIA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Almeida Filho N., Rouquayrol M.Z.  4.ed. Rio de Janeiro: Guanabara Koogan, 2006. 614.4 A446i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Franco L.J., Passos A.D.C.  Fundamentos de epidemiologia.  São Paulo: Manole, 2005.  614.4 F977f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Fletcher R.H., Fletcher S.W.  Epidemiologia clinica: elementos essenciais. 4.ed.  Porto Alegre: ARTMED, 2006. 614.4 F614ep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Gordis L. Epidemiologia. 2.ed. Rio de Janeiro: Revinter, 2000.  614.4 G67e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Jekel James F., Elmore J.G., Katz D.L.  Epidemiologia, bioestatística e medicina preventiva. Porto Alegre: Artes Médicas, 1999. Class. 614.4 J49e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Medronho R.A. Epidemiologia. São Paulo: Atheneu, 2006. 614.4 E54m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Rouquayrol M. Z., Almeida Filho N. Epidemiologia &amp; saúde. 5.ed.  Rio de Janeiro: MEDSI, 1999. 614.4 R768e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Astin MP, Brazzelli MG, Fraser CM, Counsell CE, Needham G, Grimshaw JM. Developing a sensitive search strategy in MEDLINE to retrieve studies on assessment of the diagnostic performance of imaging techniques. Radiology. 2008 May;247(2):365-73. Epub 2008 Mar 27.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Atallah, Álvaro Nagib; Puga, Maria Eduarda dos Santos. - CAPES publications portal: a decisive milepost in Brazilian scientific development providing sources of evidence for researchers, students and health professionals: [editorial]. São Paulo med. j; 125(4):203-204, July 2007.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Bachmann LM, Coray R, Estermann P, Ter Riet G. Identifying diagnostic studies in MEDLINE: reducing the number needed to read. J Am Med Inform Assoc. 2002 Nov-Dec;9(6):653-8.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202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  <w:t xml:space="preserve">Dickersin K</w:t>
      </w: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  <w:t xml:space="preserve">Scherer R</w:t>
      </w: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  <w:t xml:space="preserve">Lefebvre</w:t>
      </w: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  <w:t xml:space="preserve">C</w:t>
      </w: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. Systematic Reviews: Identifying relevant studies for systematic reviews. </w:t>
      </w:r>
      <w:r>
        <w:rPr>
          <w:rFonts w:ascii="Arial" w:hAnsi="Arial" w:cs="Arial" w:eastAsia="Arial"/>
          <w:i/>
          <w:color w:val="1F4E79"/>
          <w:spacing w:val="0"/>
          <w:position w:val="0"/>
          <w:sz w:val="28"/>
          <w:shd w:fill="auto" w:val="clear"/>
        </w:rPr>
        <w:t xml:space="preserve">BMJ</w:t>
      </w: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 1994;309:1286-1291 (12 November)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Haynes RB, Wilczynski NL. Optimal search strategies for retrieving scientifically strong studies of diagnosis from Medline: analytical survey. BMJ. 2004 May 1;328(7447):1040. Epub 2004 Apr 8.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Hopewell S, Clarke M, Lefebvre C, Scherer R. Handsearching versus electronic searching to identify reports of randomized trials. Cochrane Database Syst Rev. 2007 Apr 18;(2):MR000001.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</w:p>
    <w:p>
      <w:pPr>
        <w:keepNext w:val="true"/>
        <w:spacing w:before="240" w:after="60" w:line="276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Lefebvre C, Manheimer E,   Glanville J. on behalf of the Cochrane Information Retrieval Methods Group. Chapter 6:  Searching for studies. In: Higgins JPT, Green S (editors). </w:t>
      </w:r>
      <w:r>
        <w:rPr>
          <w:rFonts w:ascii="Arial" w:hAnsi="Arial" w:cs="Arial" w:eastAsia="Arial"/>
          <w:i/>
          <w:color w:val="1F4E79"/>
          <w:spacing w:val="0"/>
          <w:position w:val="0"/>
          <w:sz w:val="28"/>
          <w:shd w:fill="auto" w:val="clear"/>
        </w:rPr>
        <w:t xml:space="preserve">Cochrane Handbook for Systematic Reviews of Interventions</w:t>
      </w: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 Version 5.0.1 [updated September 2008]. The Cochrane Collaboration, 2008. Available from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1F4E79"/>
            <w:spacing w:val="0"/>
            <w:position w:val="0"/>
            <w:sz w:val="28"/>
            <w:u w:val="single"/>
            <w:shd w:fill="auto" w:val="clear"/>
          </w:rPr>
          <w:t xml:space="preserve">www.cochrane-handbook.org</w:t>
        </w:r>
      </w:hyperlink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Manríquez JJ.  A highly sensitive search strategy for clinical trials in Literatura Latino Americana e do Caribe em Ciências da Saúde (LILACS) was developed. J Clin Epidemiol. 2008 Apr;61(4):407-11.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Pellizzon, Rosely de Fátima; Población, Dinah Aguiar; Goldenberg, Saul. - Pesquisa na área da saúde: seleção das principais fontes para acesso à literatura científica / Research in the health area: selection of the main sources for access to scientific literature. Acta cir. bras; 18(6):493-496, nov.-dez. 2003.ilus.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Pellizzon, Rosely de Fátima. - Pesquisa na área da saúde: 1. Base de dados DeCS (Descritores em Ciências da Saúde) / Research in the health area: 1. Database Decs (Health Sciences Descriptors). Acta cir. bras; 19(2):153-163, mar.-abr. 2004.ilus, graf.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Riera, R. Da pergunta às evidências: busca na biblioteca cochrane.  Diagn Tratamento. 2007, 12(1):28-32.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Sally Hopewell, Mike J Clarke, Carol Lefebvre, Roberta W Scherer</w:t>
      </w: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  <w:vertAlign w:val="superscript"/>
        </w:rPr>
        <w:t xml:space="preserve">.. </w:t>
      </w:r>
      <w:r>
        <w:rPr>
          <w:rFonts w:ascii="Arial" w:hAnsi="Arial" w:cs="Arial" w:eastAsia="Arial"/>
          <w:b/>
          <w:color w:val="1F4E79"/>
          <w:spacing w:val="0"/>
          <w:position w:val="0"/>
          <w:sz w:val="28"/>
          <w:shd w:fill="auto" w:val="clear"/>
        </w:rPr>
        <w:t xml:space="preserve">Handsearching versus electronic searching to identify reports of randomized trials.</w:t>
      </w:r>
      <w:r>
        <w:rPr>
          <w:rFonts w:ascii="Arial" w:hAnsi="Arial" w:cs="Arial" w:eastAsia="Arial"/>
          <w:i/>
          <w:color w:val="1F4E79"/>
          <w:spacing w:val="0"/>
          <w:position w:val="0"/>
          <w:sz w:val="28"/>
          <w:shd w:fill="auto" w:val="clear"/>
        </w:rPr>
        <w:t xml:space="preserve"> Cochrane Database of Systematic Reviews</w:t>
      </w: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, Issue 1, 2009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  <w:t xml:space="preserve">Whiting P, Westwood M, Burke M, Sterne J, Glanville J. Systematic reviews of test accuracy should search a range of databases to identify primary studies. J Clin Epidemiol. 2008 Apr;61(4):357-364. Epub 2007 Oct 15.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1F4E79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cochrane-handbook.org/" Id="docRId2" Type="http://schemas.openxmlformats.org/officeDocument/2006/relationships/hyperlink" /><Relationship Target="styles.xml" Id="docRId4" Type="http://schemas.openxmlformats.org/officeDocument/2006/relationships/styles" /></Relationships>
</file>